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A8039D" w14:textId="77777777" w:rsidR="00D82061" w:rsidRDefault="00000000">
      <w:pPr>
        <w:pStyle w:val="Heading1"/>
        <w:keepNext w:val="0"/>
        <w:numPr>
          <w:ilvl w:val="0"/>
          <w:numId w:val="0"/>
        </w:numPr>
        <w:spacing w:before="120" w:after="360"/>
        <w:jc w:val="center"/>
        <w:rPr>
          <w:rFonts w:ascii="Book Antiqua" w:hAnsi="Book Antiqua" w:cs="Times New Roman"/>
          <w:color w:val="9A3100"/>
          <w:kern w:val="0"/>
          <w:sz w:val="28"/>
          <w:szCs w:val="28"/>
          <w:lang w:val="en-GB" w:eastAsia="zh-CN"/>
        </w:rPr>
      </w:pPr>
      <w:r>
        <w:rPr>
          <w:rFonts w:ascii="Book Antiqua" w:hAnsi="Book Antiqua" w:cs="Times New Roman"/>
          <w:color w:val="9A3100"/>
          <w:kern w:val="0"/>
          <w:sz w:val="28"/>
          <w:szCs w:val="28"/>
          <w:lang w:val="en-GB" w:eastAsia="zh-CN"/>
        </w:rPr>
        <w:t>Proforma for Performance Bank Guarantee</w:t>
      </w:r>
    </w:p>
    <w:p w14:paraId="299F946C" w14:textId="77777777" w:rsidR="00D82061" w:rsidRDefault="00D82061">
      <w:pPr>
        <w:pStyle w:val="Default"/>
        <w:rPr>
          <w:rFonts w:ascii="Book Antiqua" w:hAnsi="Book Antiqua"/>
        </w:rPr>
      </w:pPr>
    </w:p>
    <w:p w14:paraId="6A0DCCC5" w14:textId="77777777" w:rsidR="00D82061" w:rsidRDefault="00000000">
      <w:pPr>
        <w:pStyle w:val="CM31"/>
        <w:spacing w:line="253" w:lineRule="atLeast"/>
        <w:jc w:val="center"/>
        <w:rPr>
          <w:rFonts w:ascii="Book Antiqua" w:hAnsi="Book Antiqua" w:cs="Book Antiqua"/>
          <w:color w:val="000000"/>
          <w:sz w:val="20"/>
          <w:szCs w:val="20"/>
        </w:rPr>
      </w:pPr>
      <w:r>
        <w:rPr>
          <w:rFonts w:ascii="Book Antiqua" w:hAnsi="Book Antiqua" w:cs="Book Antiqua"/>
          <w:color w:val="000000"/>
          <w:sz w:val="20"/>
          <w:szCs w:val="20"/>
        </w:rPr>
        <w:t>(To be executed on non Judicial stamped paper of an appropriate value)</w:t>
      </w:r>
    </w:p>
    <w:p w14:paraId="2E75A418" w14:textId="77777777" w:rsidR="00D82061" w:rsidRDefault="00D82061">
      <w:pPr>
        <w:pStyle w:val="Default"/>
        <w:rPr>
          <w:rFonts w:ascii="Book Antiqua" w:hAnsi="Book Antiqua"/>
        </w:rPr>
      </w:pPr>
    </w:p>
    <w:p w14:paraId="7224F03A" w14:textId="77777777" w:rsidR="00D82061" w:rsidRDefault="00000000">
      <w:pPr>
        <w:spacing w:after="0"/>
        <w:jc w:val="both"/>
        <w:rPr>
          <w:rFonts w:cs="Arial"/>
          <w:sz w:val="20"/>
          <w:szCs w:val="20"/>
          <w:lang w:val="en-GB"/>
        </w:rPr>
      </w:pPr>
      <w:r>
        <w:rPr>
          <w:rFonts w:cs="Book Antiqua"/>
          <w:b/>
          <w:color w:val="000000"/>
          <w:sz w:val="20"/>
          <w:szCs w:val="20"/>
        </w:rPr>
        <w:t>WHEREAS</w:t>
      </w:r>
      <w:r>
        <w:rPr>
          <w:rFonts w:cs="Book Antiqua"/>
          <w:color w:val="000000"/>
          <w:sz w:val="20"/>
          <w:szCs w:val="20"/>
        </w:rPr>
        <w:t xml:space="preserve"> International Centre for Automotive Technology (“</w:t>
      </w:r>
      <w:r>
        <w:rPr>
          <w:rFonts w:cs="Book Antiqua"/>
          <w:b/>
          <w:color w:val="000000"/>
          <w:sz w:val="20"/>
          <w:szCs w:val="20"/>
        </w:rPr>
        <w:t>ICAT</w:t>
      </w:r>
      <w:r>
        <w:rPr>
          <w:rFonts w:cs="Book Antiqua"/>
          <w:color w:val="000000"/>
          <w:sz w:val="20"/>
          <w:szCs w:val="20"/>
        </w:rPr>
        <w:t xml:space="preserve">”) having its corporate office at </w:t>
      </w:r>
      <w:r>
        <w:rPr>
          <w:rFonts w:cs="Arial"/>
          <w:sz w:val="20"/>
          <w:szCs w:val="20"/>
          <w:lang w:val="en-GB"/>
        </w:rPr>
        <w:t>Plot No. 26, Sector – 3, HSIIDC, IMT Manesar</w:t>
      </w:r>
      <w:r>
        <w:rPr>
          <w:rFonts w:cs="Berlin Sans FB"/>
          <w:color w:val="000000"/>
          <w:sz w:val="20"/>
          <w:szCs w:val="20"/>
          <w:lang w:val="en-GB" w:eastAsia="es-ES"/>
        </w:rPr>
        <w:t xml:space="preserve">, </w:t>
      </w:r>
      <w:r>
        <w:rPr>
          <w:rFonts w:cs="Arial"/>
          <w:sz w:val="20"/>
          <w:szCs w:val="20"/>
          <w:lang w:val="en-GB"/>
        </w:rPr>
        <w:t xml:space="preserve">Gurgaon – 122050, Haryana, India </w:t>
      </w:r>
      <w:r>
        <w:rPr>
          <w:rFonts w:cs="Book Antiqua"/>
          <w:color w:val="000000"/>
          <w:sz w:val="20"/>
          <w:szCs w:val="20"/>
        </w:rPr>
        <w:t>(hereinafter referred to as “</w:t>
      </w:r>
      <w:r>
        <w:rPr>
          <w:rFonts w:cs="Book Antiqua"/>
          <w:b/>
          <w:color w:val="000000"/>
          <w:sz w:val="20"/>
          <w:szCs w:val="20"/>
        </w:rPr>
        <w:t>The Owner</w:t>
      </w:r>
      <w:r>
        <w:rPr>
          <w:rFonts w:cs="Book Antiqua"/>
          <w:color w:val="000000"/>
          <w:sz w:val="20"/>
          <w:szCs w:val="20"/>
        </w:rPr>
        <w:t>” which expression shall unless repugnant to the context includes their legal representatives, successors and assigns) has executed a contract on [</w:t>
      </w:r>
      <w:r>
        <w:rPr>
          <w:rFonts w:cs="Book Antiqua"/>
          <w:i/>
          <w:color w:val="000000"/>
          <w:sz w:val="20"/>
          <w:szCs w:val="20"/>
        </w:rPr>
        <w:t>Please insert date of execution of Contract</w:t>
      </w:r>
      <w:r>
        <w:rPr>
          <w:rFonts w:cs="Book Antiqua"/>
          <w:color w:val="000000"/>
          <w:sz w:val="20"/>
          <w:szCs w:val="20"/>
        </w:rPr>
        <w:t>] (“</w:t>
      </w:r>
      <w:r>
        <w:rPr>
          <w:rFonts w:cs="Book Antiqua"/>
          <w:b/>
          <w:color w:val="000000"/>
          <w:sz w:val="20"/>
          <w:szCs w:val="20"/>
        </w:rPr>
        <w:t>Contract</w:t>
      </w:r>
      <w:r>
        <w:rPr>
          <w:rFonts w:cs="Book Antiqua"/>
          <w:color w:val="000000"/>
          <w:sz w:val="20"/>
          <w:szCs w:val="20"/>
        </w:rPr>
        <w:t>”) with [</w:t>
      </w:r>
      <w:r>
        <w:rPr>
          <w:rFonts w:cs="Book Antiqua"/>
          <w:i/>
          <w:color w:val="000000"/>
          <w:sz w:val="20"/>
          <w:szCs w:val="20"/>
        </w:rPr>
        <w:t>insert name of the Successful Bidder</w:t>
      </w:r>
      <w:r>
        <w:rPr>
          <w:rFonts w:cs="Book Antiqua"/>
          <w:color w:val="000000"/>
          <w:sz w:val="20"/>
          <w:szCs w:val="20"/>
        </w:rPr>
        <w:t>] ………………………….(hereinafter referred to as the “</w:t>
      </w:r>
      <w:r>
        <w:rPr>
          <w:rFonts w:cs="Book Antiqua"/>
          <w:b/>
          <w:color w:val="000000"/>
          <w:sz w:val="20"/>
          <w:szCs w:val="20"/>
        </w:rPr>
        <w:t>Contractor</w:t>
      </w:r>
      <w:r>
        <w:rPr>
          <w:rFonts w:cs="Book Antiqua"/>
          <w:color w:val="000000"/>
          <w:sz w:val="20"/>
          <w:szCs w:val="20"/>
        </w:rPr>
        <w:t>” which expression shall unless repugnant to the context include its legal representatives, successors and permitted assigns) for the performance, execution and implementation of the Works (“Works” shall have the meaning ascribed to it in the Contract] based on the terms &amp; conditions set out in the Tender Documents number [I</w:t>
      </w:r>
      <w:r>
        <w:rPr>
          <w:sz w:val="20"/>
          <w:szCs w:val="20"/>
          <w:lang w:val="en-GB" w:eastAsia="zh-CN"/>
        </w:rPr>
        <w:t>CAT/T/PE/Reparing of Chamber/2024-25/117</w:t>
      </w:r>
      <w:r>
        <w:rPr>
          <w:rFonts w:cs="Book Antiqua"/>
          <w:color w:val="000000"/>
          <w:sz w:val="20"/>
          <w:szCs w:val="20"/>
        </w:rPr>
        <w:t>] dated [</w:t>
      </w:r>
      <w:r>
        <w:rPr>
          <w:rFonts w:cs="Book Antiqua"/>
          <w:i/>
          <w:color w:val="000000"/>
          <w:sz w:val="20"/>
          <w:szCs w:val="20"/>
        </w:rPr>
        <w:t>insert date of issue of Tender Documents</w:t>
      </w:r>
      <w:r>
        <w:rPr>
          <w:rFonts w:cs="Book Antiqua"/>
          <w:color w:val="000000"/>
          <w:sz w:val="20"/>
          <w:szCs w:val="20"/>
        </w:rPr>
        <w:t xml:space="preserve">]…………………………………….and various other documents forming part thereof. </w:t>
      </w:r>
    </w:p>
    <w:p w14:paraId="0E20D42A" w14:textId="77777777" w:rsidR="00D82061" w:rsidRDefault="00D82061">
      <w:pPr>
        <w:pStyle w:val="CM31"/>
        <w:spacing w:line="253" w:lineRule="atLeast"/>
        <w:jc w:val="both"/>
        <w:rPr>
          <w:rFonts w:ascii="Book Antiqua" w:hAnsi="Book Antiqua" w:cs="Book Antiqua"/>
          <w:color w:val="000000"/>
          <w:sz w:val="20"/>
          <w:szCs w:val="20"/>
        </w:rPr>
      </w:pPr>
    </w:p>
    <w:p w14:paraId="1C7802BC" w14:textId="77777777" w:rsidR="00D82061" w:rsidRDefault="00000000">
      <w:pPr>
        <w:pStyle w:val="CM31"/>
        <w:spacing w:line="253" w:lineRule="atLeast"/>
        <w:jc w:val="both"/>
        <w:rPr>
          <w:rFonts w:ascii="Book Antiqua" w:hAnsi="Book Antiqua" w:cs="Book Antiqua"/>
          <w:color w:val="000000"/>
          <w:sz w:val="20"/>
          <w:szCs w:val="20"/>
        </w:rPr>
      </w:pPr>
      <w:r>
        <w:rPr>
          <w:rFonts w:ascii="Book Antiqua" w:hAnsi="Book Antiqua" w:cs="Book Antiqua"/>
          <w:b/>
          <w:color w:val="000000"/>
          <w:sz w:val="20"/>
          <w:szCs w:val="20"/>
        </w:rPr>
        <w:t xml:space="preserve">AND WHEREAS </w:t>
      </w:r>
      <w:r>
        <w:rPr>
          <w:rFonts w:ascii="Book Antiqua" w:hAnsi="Book Antiqua" w:cs="Book Antiqua"/>
          <w:color w:val="000000"/>
          <w:sz w:val="20"/>
          <w:szCs w:val="20"/>
        </w:rPr>
        <w:t>one of the conditions of the Contract  is that the Contractor shall furnish to the Owner a Bank Guarantee from a scheduled bank in India having a branch at Manesar/Gurgaon for an amount equal to 5% (five percent)  of the total Contract Sum (the amount guaranteed under this bank guarantee shall hereinafter be referred to as the “</w:t>
      </w:r>
      <w:r>
        <w:rPr>
          <w:rFonts w:ascii="Book Antiqua" w:hAnsi="Book Antiqua" w:cs="Book Antiqua"/>
          <w:b/>
          <w:color w:val="000000"/>
          <w:sz w:val="20"/>
          <w:szCs w:val="20"/>
        </w:rPr>
        <w:t>Guaranteed Amount</w:t>
      </w:r>
      <w:r>
        <w:rPr>
          <w:rFonts w:ascii="Book Antiqua" w:hAnsi="Book Antiqua" w:cs="Book Antiqua"/>
          <w:color w:val="000000"/>
          <w:sz w:val="20"/>
          <w:szCs w:val="20"/>
        </w:rPr>
        <w:t xml:space="preserve">”) against due and faithful performance of the Contract from the post-commissioning stage of the Works under the Contract, including the performance bank guarantee obligation and other obligations of the Contractor for the supplies made and the Works being performed and executed by under the Contract. This bank guarantee shall be valid from the date hereof up to the expiry of the Warranty Period including any extension thereof. </w:t>
      </w:r>
    </w:p>
    <w:p w14:paraId="430DB7F8" w14:textId="77777777" w:rsidR="00D82061" w:rsidRDefault="00D82061">
      <w:pPr>
        <w:pStyle w:val="CM31"/>
        <w:spacing w:line="253" w:lineRule="atLeast"/>
        <w:jc w:val="both"/>
        <w:rPr>
          <w:rFonts w:ascii="Book Antiqua" w:hAnsi="Book Antiqua" w:cs="Book Antiqua"/>
          <w:color w:val="000000"/>
          <w:sz w:val="20"/>
          <w:szCs w:val="20"/>
        </w:rPr>
      </w:pPr>
    </w:p>
    <w:p w14:paraId="00577E7D" w14:textId="77777777" w:rsidR="00D82061" w:rsidRDefault="00000000">
      <w:pPr>
        <w:pStyle w:val="CM31"/>
        <w:spacing w:line="253" w:lineRule="atLeast"/>
        <w:jc w:val="both"/>
        <w:rPr>
          <w:rFonts w:ascii="Book Antiqua" w:hAnsi="Book Antiqua" w:cs="Book Antiqua"/>
          <w:color w:val="000000"/>
          <w:sz w:val="20"/>
          <w:szCs w:val="20"/>
        </w:rPr>
      </w:pPr>
      <w:r>
        <w:rPr>
          <w:rFonts w:ascii="Book Antiqua" w:hAnsi="Book Antiqua" w:cs="Book Antiqua"/>
          <w:b/>
          <w:color w:val="000000"/>
          <w:sz w:val="20"/>
          <w:szCs w:val="20"/>
        </w:rPr>
        <w:t>AND WHEREAS</w:t>
      </w:r>
      <w:r>
        <w:rPr>
          <w:rFonts w:ascii="Book Antiqua" w:hAnsi="Book Antiqua" w:cs="Book Antiqua"/>
          <w:color w:val="000000"/>
          <w:sz w:val="20"/>
          <w:szCs w:val="20"/>
        </w:rPr>
        <w:t xml:space="preserve"> the Contractor has approached [</w:t>
      </w:r>
      <w:r>
        <w:rPr>
          <w:rFonts w:ascii="Book Antiqua" w:hAnsi="Book Antiqua" w:cs="Book Antiqua"/>
          <w:i/>
          <w:color w:val="000000"/>
          <w:sz w:val="20"/>
          <w:szCs w:val="20"/>
        </w:rPr>
        <w:t>insert the name of the scheduled bank</w:t>
      </w:r>
      <w:r>
        <w:rPr>
          <w:rFonts w:ascii="Book Antiqua" w:hAnsi="Book Antiqua" w:cs="Book Antiqua"/>
          <w:color w:val="000000"/>
          <w:sz w:val="20"/>
          <w:szCs w:val="20"/>
        </w:rPr>
        <w:t>] (here in after referred to as the “</w:t>
      </w:r>
      <w:r>
        <w:rPr>
          <w:rFonts w:ascii="Book Antiqua" w:hAnsi="Book Antiqua" w:cs="Book Antiqua"/>
          <w:b/>
          <w:color w:val="000000"/>
          <w:sz w:val="20"/>
          <w:szCs w:val="20"/>
        </w:rPr>
        <w:t>Bank</w:t>
      </w:r>
      <w:r>
        <w:rPr>
          <w:rFonts w:ascii="Book Antiqua" w:hAnsi="Book Antiqua" w:cs="Book Antiqua"/>
          <w:color w:val="000000"/>
          <w:sz w:val="20"/>
          <w:szCs w:val="20"/>
        </w:rPr>
        <w:t>”) having its registered office at [</w:t>
      </w:r>
      <w:r>
        <w:rPr>
          <w:rFonts w:ascii="Book Antiqua" w:hAnsi="Book Antiqua" w:cs="Book Antiqua"/>
          <w:i/>
          <w:color w:val="000000"/>
          <w:sz w:val="20"/>
          <w:szCs w:val="20"/>
        </w:rPr>
        <w:t>insert the address</w:t>
      </w:r>
      <w:r>
        <w:rPr>
          <w:rFonts w:ascii="Book Antiqua" w:hAnsi="Book Antiqua" w:cs="Book Antiqua"/>
          <w:color w:val="000000"/>
          <w:sz w:val="20"/>
          <w:szCs w:val="20"/>
        </w:rPr>
        <w:t xml:space="preserve">]…………………………………………………………………and at the request of the Contractor and in consideration of the promises made by the Contractor, the Bank has agreed to give such guarantee as hereunder:- </w:t>
      </w:r>
    </w:p>
    <w:p w14:paraId="379C2946" w14:textId="77777777" w:rsidR="00D82061" w:rsidRDefault="00D82061">
      <w:pPr>
        <w:pStyle w:val="CM31"/>
        <w:spacing w:line="253" w:lineRule="atLeast"/>
        <w:jc w:val="both"/>
        <w:rPr>
          <w:rFonts w:ascii="Book Antiqua" w:hAnsi="Book Antiqua" w:cs="Book Antiqua"/>
          <w:color w:val="000000"/>
          <w:sz w:val="20"/>
          <w:szCs w:val="20"/>
        </w:rPr>
      </w:pPr>
    </w:p>
    <w:p w14:paraId="7CE82E2E" w14:textId="77777777" w:rsidR="00D82061" w:rsidRDefault="00000000">
      <w:pPr>
        <w:pStyle w:val="BodyCharChar"/>
        <w:ind w:hanging="720"/>
        <w:rPr>
          <w:rFonts w:ascii="Book Antiqua" w:eastAsia="Times New Roman" w:hAnsi="Book Antiqua" w:cs="Book Antiqua"/>
          <w:color w:val="000000"/>
          <w:sz w:val="20"/>
          <w:szCs w:val="20"/>
          <w:lang w:val="en-US"/>
        </w:rPr>
      </w:pPr>
      <w:r>
        <w:rPr>
          <w:rFonts w:ascii="Book Antiqua" w:hAnsi="Book Antiqua" w:cs="Book Antiqua"/>
          <w:color w:val="000000"/>
          <w:sz w:val="20"/>
          <w:szCs w:val="20"/>
        </w:rPr>
        <w:t>(i)</w:t>
      </w:r>
      <w:r>
        <w:rPr>
          <w:rFonts w:ascii="Book Antiqua" w:hAnsi="Book Antiqua" w:cs="Book Antiqua"/>
          <w:color w:val="000000"/>
          <w:sz w:val="20"/>
          <w:szCs w:val="20"/>
        </w:rPr>
        <w:tab/>
        <w:t xml:space="preserve">The Bank hereby undertakes to pay under this guarantee, the Guaranteed Amount claimed by the Owner without any further proof or conditions and without demur, reservation, contest, recourse or protest and without any enquiry or notification to the Contractor merely on a demand from the Owner stating that the amount claimed is due to the Owner under the Contract. Any such demand made on the Bank by the Owner shall be conclusive as regards the amount due and payable by the Bank under this bank guarantee and the Bank shall pay without any deductions or set-offs or counterclaims whatsoever, the total sum </w:t>
      </w:r>
      <w:r>
        <w:rPr>
          <w:rFonts w:ascii="Book Antiqua" w:eastAsia="Times New Roman" w:hAnsi="Book Antiqua" w:cs="Book Antiqua"/>
          <w:color w:val="000000"/>
          <w:sz w:val="20"/>
          <w:szCs w:val="20"/>
          <w:lang w:val="en-US"/>
        </w:rPr>
        <w:t>claimed by the Owner in such Demand. The Owner shall have the right to make an unlimited number of Demands under this bank guarantee provided that the aggregate of all sums paid to the Owner by the Bank under this bank guarantee shall not exceed the Guaranteed Amount.</w:t>
      </w:r>
    </w:p>
    <w:p w14:paraId="72409B6F" w14:textId="77777777" w:rsidR="00D82061" w:rsidRDefault="00000000">
      <w:pPr>
        <w:pStyle w:val="CM31"/>
        <w:spacing w:line="253" w:lineRule="atLeast"/>
        <w:ind w:hanging="708"/>
        <w:jc w:val="both"/>
        <w:rPr>
          <w:rFonts w:ascii="Book Antiqua" w:hAnsi="Book Antiqua" w:cs="Book Antiqua"/>
          <w:color w:val="000000"/>
          <w:sz w:val="20"/>
          <w:szCs w:val="20"/>
        </w:rPr>
      </w:pPr>
      <w:r>
        <w:rPr>
          <w:rFonts w:ascii="Book Antiqua" w:hAnsi="Book Antiqua" w:cs="Book Antiqua"/>
          <w:color w:val="000000"/>
          <w:sz w:val="20"/>
          <w:szCs w:val="20"/>
        </w:rPr>
        <w:t>(ii)</w:t>
      </w:r>
      <w:r>
        <w:rPr>
          <w:rFonts w:ascii="Book Antiqua" w:hAnsi="Book Antiqua" w:cs="Book Antiqua"/>
          <w:color w:val="000000"/>
          <w:sz w:val="20"/>
          <w:szCs w:val="20"/>
        </w:rPr>
        <w:tab/>
        <w:t>However, the Bank’s liability under this bank guarantee shall be restricted to an amount not exceeding [</w:t>
      </w:r>
      <w:r>
        <w:rPr>
          <w:rFonts w:ascii="Book Antiqua" w:hAnsi="Book Antiqua" w:cs="Book Antiqua"/>
          <w:i/>
          <w:color w:val="000000"/>
          <w:sz w:val="20"/>
          <w:szCs w:val="20"/>
        </w:rPr>
        <w:t>figure of Guaranteed Amount to be inserted here</w:t>
      </w:r>
      <w:r>
        <w:rPr>
          <w:rFonts w:ascii="Book Antiqua" w:hAnsi="Book Antiqua" w:cs="Book Antiqua"/>
          <w:color w:val="000000"/>
          <w:sz w:val="20"/>
          <w:szCs w:val="20"/>
        </w:rPr>
        <w:t xml:space="preserve">]………………………………………………………………………………… ………………………………………………………………only). </w:t>
      </w:r>
    </w:p>
    <w:p w14:paraId="3397F3ED" w14:textId="77777777" w:rsidR="00D82061" w:rsidRDefault="00D82061">
      <w:pPr>
        <w:pStyle w:val="Default"/>
        <w:rPr>
          <w:rFonts w:ascii="Book Antiqua" w:hAnsi="Book Antiqua"/>
        </w:rPr>
      </w:pPr>
    </w:p>
    <w:p w14:paraId="677595A6" w14:textId="77777777" w:rsidR="00D82061" w:rsidRDefault="00000000">
      <w:pPr>
        <w:pStyle w:val="Default"/>
        <w:ind w:hanging="720"/>
        <w:jc w:val="both"/>
        <w:rPr>
          <w:rFonts w:ascii="Book Antiqua" w:hAnsi="Book Antiqua" w:cs="Book Antiqua"/>
          <w:sz w:val="20"/>
          <w:szCs w:val="20"/>
        </w:rPr>
      </w:pPr>
      <w:r>
        <w:rPr>
          <w:rFonts w:ascii="Book Antiqua" w:hAnsi="Book Antiqua" w:cs="Book Antiqua"/>
          <w:sz w:val="20"/>
          <w:szCs w:val="20"/>
        </w:rPr>
        <w:t>(iii)</w:t>
      </w:r>
      <w:r>
        <w:rPr>
          <w:rFonts w:ascii="Book Antiqua" w:hAnsi="Book Antiqua" w:cs="Book Antiqua"/>
          <w:sz w:val="20"/>
          <w:szCs w:val="20"/>
        </w:rPr>
        <w:tab/>
        <w:t>The Owner will have the full liberty without reference to the Bank and without affecting the bank guarantee to postpone for any time or from time to time the exercise of any powers and rights conferred on the Owner under the Contract and to enforce or to forbear endorsing any powers or rights or by reasons of time being given to the Contractor which under law relating the Surety would but for the provisions have the effect of releasing the surety.</w:t>
      </w:r>
    </w:p>
    <w:p w14:paraId="24FAF73E" w14:textId="77777777" w:rsidR="00D82061" w:rsidRDefault="00D82061">
      <w:pPr>
        <w:pStyle w:val="Default"/>
        <w:ind w:hanging="720"/>
        <w:jc w:val="both"/>
        <w:rPr>
          <w:rFonts w:ascii="Book Antiqua" w:hAnsi="Book Antiqua" w:cs="Book Antiqua"/>
          <w:sz w:val="20"/>
          <w:szCs w:val="20"/>
        </w:rPr>
      </w:pPr>
    </w:p>
    <w:p w14:paraId="4AEBDB9E" w14:textId="77777777" w:rsidR="00D82061" w:rsidRDefault="00000000">
      <w:pPr>
        <w:pStyle w:val="CM31"/>
        <w:spacing w:line="253" w:lineRule="atLeast"/>
        <w:ind w:hanging="720"/>
        <w:jc w:val="both"/>
        <w:rPr>
          <w:rFonts w:ascii="Book Antiqua" w:hAnsi="Book Antiqua" w:cs="Book Antiqua"/>
          <w:color w:val="000000"/>
          <w:sz w:val="20"/>
          <w:szCs w:val="20"/>
        </w:rPr>
      </w:pPr>
      <w:r>
        <w:rPr>
          <w:rFonts w:ascii="Book Antiqua" w:hAnsi="Book Antiqua" w:cs="Book Antiqua"/>
          <w:color w:val="000000"/>
          <w:sz w:val="20"/>
          <w:szCs w:val="20"/>
        </w:rPr>
        <w:t xml:space="preserve">(iv) </w:t>
      </w:r>
      <w:r>
        <w:rPr>
          <w:rFonts w:ascii="Book Antiqua" w:hAnsi="Book Antiqua" w:cs="Book Antiqua"/>
          <w:color w:val="000000"/>
          <w:sz w:val="20"/>
          <w:szCs w:val="20"/>
        </w:rPr>
        <w:tab/>
        <w:t xml:space="preserve">The rights of the Owner to recover the Guaranteed Amount from the Bank in the manner aforesaid will not be affected or suspended by reasons of the fact that any dispute or disputes have been raised by the Contractor and / or that any dispute(s) are pending before any office, tribunal or court in respect of such Guaranteed Amount and/ or the Contract. </w:t>
      </w:r>
    </w:p>
    <w:p w14:paraId="55550AEC" w14:textId="77777777" w:rsidR="00D82061" w:rsidRDefault="00D82061">
      <w:pPr>
        <w:pStyle w:val="Default"/>
      </w:pPr>
    </w:p>
    <w:p w14:paraId="3A90E75C" w14:textId="77777777" w:rsidR="00D82061" w:rsidRDefault="00000000">
      <w:pPr>
        <w:pStyle w:val="CM31"/>
        <w:spacing w:line="253" w:lineRule="atLeast"/>
        <w:ind w:hanging="720"/>
        <w:jc w:val="both"/>
        <w:rPr>
          <w:rFonts w:ascii="Book Antiqua" w:hAnsi="Book Antiqua" w:cs="Book Antiqua"/>
          <w:color w:val="000000"/>
          <w:sz w:val="20"/>
          <w:szCs w:val="20"/>
        </w:rPr>
      </w:pPr>
      <w:r>
        <w:rPr>
          <w:rFonts w:ascii="Book Antiqua" w:hAnsi="Book Antiqua" w:cs="Book Antiqua"/>
          <w:color w:val="000000"/>
          <w:sz w:val="20"/>
          <w:szCs w:val="20"/>
        </w:rPr>
        <w:t xml:space="preserve">(v) </w:t>
      </w:r>
      <w:r>
        <w:rPr>
          <w:rFonts w:ascii="Book Antiqua" w:hAnsi="Book Antiqua" w:cs="Book Antiqua"/>
          <w:color w:val="000000"/>
          <w:sz w:val="20"/>
          <w:szCs w:val="20"/>
        </w:rPr>
        <w:tab/>
        <w:t xml:space="preserve">The guarantee herein contained shall not be affected by the liquidation or winding up, dissolution, change of constitution or insolvency of the Contractor but shall in all respects and for all purposes be binding and operative until payment of all money due to the Owner in respect of such liability or liabilities is effected. </w:t>
      </w:r>
    </w:p>
    <w:p w14:paraId="64089647" w14:textId="77777777" w:rsidR="00D82061" w:rsidRDefault="00D82061">
      <w:pPr>
        <w:pStyle w:val="Default"/>
      </w:pPr>
    </w:p>
    <w:p w14:paraId="387A042D" w14:textId="77777777" w:rsidR="00D82061" w:rsidRDefault="00000000">
      <w:pPr>
        <w:pStyle w:val="BodyCharChar"/>
        <w:ind w:hanging="720"/>
        <w:rPr>
          <w:rFonts w:ascii="Book Antiqua" w:eastAsia="Times New Roman" w:hAnsi="Book Antiqua" w:cs="Book Antiqua"/>
          <w:color w:val="000000"/>
          <w:sz w:val="20"/>
          <w:szCs w:val="20"/>
          <w:lang w:val="en-US"/>
        </w:rPr>
      </w:pPr>
      <w:r>
        <w:rPr>
          <w:rFonts w:ascii="Book Antiqua" w:eastAsia="Times New Roman" w:hAnsi="Book Antiqua" w:cs="Book Antiqua"/>
          <w:color w:val="000000"/>
          <w:sz w:val="20"/>
          <w:szCs w:val="20"/>
          <w:lang w:val="en-US"/>
        </w:rPr>
        <w:t>(vi)</w:t>
      </w:r>
      <w:r>
        <w:rPr>
          <w:rFonts w:ascii="Book Antiqua" w:eastAsia="Times New Roman" w:hAnsi="Book Antiqua" w:cs="Book Antiqua"/>
          <w:color w:val="000000"/>
          <w:sz w:val="20"/>
          <w:szCs w:val="20"/>
          <w:lang w:val="en-US"/>
        </w:rPr>
        <w:tab/>
        <w:t>This bank guarantee shall be governed by and construed in accordance with the laws of the Republic of India and the parties to this bank guarantee hereby submit to the jurisdiction of the Courts of Gurgaon for the purposes of settling any disputes or differences which may arise out of or in connection with this bank guarantee and for the purposes of enforcement under this bank guarantee.</w:t>
      </w:r>
    </w:p>
    <w:p w14:paraId="3BFEF8C8" w14:textId="77777777" w:rsidR="00D82061" w:rsidRDefault="00000000">
      <w:pPr>
        <w:pStyle w:val="BodyCharChar"/>
        <w:ind w:hanging="720"/>
        <w:rPr>
          <w:rFonts w:ascii="Book Antiqua" w:eastAsia="Times New Roman" w:hAnsi="Book Antiqua" w:cs="Book Antiqua"/>
          <w:color w:val="000000"/>
          <w:sz w:val="20"/>
          <w:szCs w:val="20"/>
          <w:lang w:val="en-US"/>
        </w:rPr>
      </w:pPr>
      <w:r>
        <w:rPr>
          <w:rFonts w:ascii="Book Antiqua" w:eastAsia="Times New Roman" w:hAnsi="Book Antiqua" w:cs="Book Antiqua"/>
          <w:color w:val="000000"/>
          <w:sz w:val="20"/>
          <w:szCs w:val="20"/>
          <w:lang w:val="en-US"/>
        </w:rPr>
        <w:t>(vii)</w:t>
      </w:r>
      <w:r>
        <w:rPr>
          <w:rFonts w:ascii="Book Antiqua" w:eastAsia="Times New Roman" w:hAnsi="Book Antiqua" w:cs="Book Antiqua"/>
          <w:color w:val="000000"/>
          <w:sz w:val="20"/>
          <w:szCs w:val="20"/>
          <w:lang w:val="en-US"/>
        </w:rPr>
        <w:tab/>
        <w:t>All capitalized words used but not defined herein shall have the meanings assigned to them under the Contract.</w:t>
      </w:r>
    </w:p>
    <w:p w14:paraId="3F9AE09B" w14:textId="77777777" w:rsidR="00D82061" w:rsidRDefault="00D82061">
      <w:pPr>
        <w:pStyle w:val="CM31"/>
        <w:spacing w:line="253" w:lineRule="atLeast"/>
        <w:jc w:val="both"/>
        <w:rPr>
          <w:rFonts w:ascii="Book Antiqua" w:hAnsi="Book Antiqua" w:cs="Book Antiqua"/>
          <w:color w:val="000000"/>
          <w:sz w:val="20"/>
          <w:szCs w:val="20"/>
        </w:rPr>
      </w:pPr>
    </w:p>
    <w:p w14:paraId="33A76CE1" w14:textId="77777777" w:rsidR="00D82061" w:rsidRDefault="00000000">
      <w:pPr>
        <w:pStyle w:val="CM31"/>
        <w:spacing w:line="253" w:lineRule="atLeast"/>
        <w:jc w:val="both"/>
        <w:rPr>
          <w:rFonts w:ascii="Book Antiqua" w:hAnsi="Book Antiqua" w:cs="Book Antiqua"/>
          <w:color w:val="000000"/>
          <w:sz w:val="20"/>
          <w:szCs w:val="20"/>
        </w:rPr>
      </w:pPr>
      <w:r>
        <w:rPr>
          <w:rFonts w:ascii="Book Antiqua" w:hAnsi="Book Antiqua" w:cs="Book Antiqua"/>
          <w:color w:val="000000"/>
          <w:sz w:val="20"/>
          <w:szCs w:val="20"/>
        </w:rPr>
        <w:t xml:space="preserve">NOTWITHSTANDING anything stated above, the liability of the Bank under this bank guarantee is restricted to the Guaranteed Amount and this bank guarantee shall expire on the expiry of the Warranty Period under the Contract. Unless a Demand under this bank guarantee is filed against the Bank within six (6) months from the date of expiry of this bank guarantee all the rights of the Owner under this bank guarantee shall be forfeited and the Bank shall be relieved and discharged from all liabilities hereunder.  However, if the Contractor’s obligations against which this bank guarantee is given, are not completed or fully performed by the Contractor within the period prescribed under the Contract, the Bank hereby agrees to further extend the bank guarantee for further periods of six months each till the Contractor fulfills its obligations under the Contract. </w:t>
      </w:r>
    </w:p>
    <w:p w14:paraId="3908D406" w14:textId="77777777" w:rsidR="00D82061" w:rsidRDefault="00D82061">
      <w:pPr>
        <w:pStyle w:val="CM33"/>
        <w:spacing w:line="253" w:lineRule="atLeast"/>
        <w:jc w:val="both"/>
        <w:rPr>
          <w:rFonts w:ascii="Book Antiqua" w:hAnsi="Book Antiqua" w:cs="Book Antiqua"/>
          <w:color w:val="000000"/>
          <w:sz w:val="20"/>
          <w:szCs w:val="20"/>
        </w:rPr>
      </w:pPr>
    </w:p>
    <w:p w14:paraId="22BAAD51" w14:textId="77777777" w:rsidR="00D82061" w:rsidRDefault="00000000">
      <w:pPr>
        <w:pStyle w:val="CM33"/>
        <w:spacing w:line="253" w:lineRule="atLeast"/>
        <w:jc w:val="both"/>
        <w:rPr>
          <w:rFonts w:ascii="Book Antiqua" w:hAnsi="Book Antiqua" w:cs="Book Antiqua"/>
          <w:color w:val="000000"/>
          <w:sz w:val="20"/>
          <w:szCs w:val="20"/>
        </w:rPr>
      </w:pPr>
      <w:r>
        <w:rPr>
          <w:rFonts w:ascii="Book Antiqua" w:hAnsi="Book Antiqua" w:cs="Book Antiqua"/>
          <w:color w:val="000000"/>
          <w:sz w:val="20"/>
          <w:szCs w:val="20"/>
        </w:rPr>
        <w:t>We have the power to issue this bank guarantee in your favour under Memorandum and Article of Association and the Undersigned has full power to do so under the Power of Attorney dated [</w:t>
      </w:r>
      <w:r>
        <w:rPr>
          <w:rFonts w:ascii="Book Antiqua" w:hAnsi="Book Antiqua" w:cs="Book Antiqua"/>
          <w:i/>
          <w:color w:val="000000"/>
          <w:sz w:val="20"/>
          <w:szCs w:val="20"/>
        </w:rPr>
        <w:t>date of power of attorney to be inserted</w:t>
      </w:r>
      <w:r>
        <w:rPr>
          <w:rFonts w:ascii="Book Antiqua" w:hAnsi="Book Antiqua" w:cs="Book Antiqua"/>
          <w:color w:val="000000"/>
          <w:sz w:val="20"/>
          <w:szCs w:val="20"/>
        </w:rPr>
        <w:t xml:space="preserve">]…………………………………………………granted to him by the Bank. </w:t>
      </w:r>
    </w:p>
    <w:p w14:paraId="6E97CCAC" w14:textId="77777777" w:rsidR="00D82061" w:rsidRDefault="00D82061">
      <w:pPr>
        <w:pStyle w:val="CM31"/>
        <w:spacing w:line="253" w:lineRule="atLeast"/>
        <w:jc w:val="both"/>
        <w:rPr>
          <w:rFonts w:ascii="Book Antiqua" w:hAnsi="Book Antiqua" w:cs="Book Antiqua"/>
          <w:color w:val="000000"/>
          <w:sz w:val="20"/>
          <w:szCs w:val="20"/>
        </w:rPr>
      </w:pPr>
    </w:p>
    <w:p w14:paraId="5093D0EE" w14:textId="77777777" w:rsidR="00D82061" w:rsidRDefault="00000000">
      <w:pPr>
        <w:pStyle w:val="CM31"/>
        <w:spacing w:line="253" w:lineRule="atLeast"/>
        <w:jc w:val="both"/>
        <w:rPr>
          <w:rFonts w:ascii="Book Antiqua" w:hAnsi="Book Antiqua" w:cs="Book Antiqua"/>
          <w:color w:val="000000"/>
          <w:sz w:val="20"/>
          <w:szCs w:val="20"/>
        </w:rPr>
      </w:pPr>
      <w:r>
        <w:rPr>
          <w:rFonts w:ascii="Book Antiqua" w:hAnsi="Book Antiqua" w:cs="Book Antiqua"/>
          <w:color w:val="000000"/>
          <w:sz w:val="20"/>
          <w:szCs w:val="20"/>
        </w:rPr>
        <w:t>Date:</w:t>
      </w:r>
      <w:r>
        <w:rPr>
          <w:rFonts w:ascii="Book Antiqua" w:hAnsi="Book Antiqua" w:cs="Book Antiqua"/>
          <w:color w:val="000000"/>
          <w:sz w:val="20"/>
          <w:szCs w:val="20"/>
        </w:rPr>
        <w:tab/>
      </w:r>
    </w:p>
    <w:p w14:paraId="51C30A69" w14:textId="77777777" w:rsidR="00D82061" w:rsidRDefault="00D82061">
      <w:pPr>
        <w:pStyle w:val="CM31"/>
        <w:spacing w:line="253" w:lineRule="atLeast"/>
        <w:jc w:val="both"/>
        <w:rPr>
          <w:rFonts w:ascii="Book Antiqua" w:hAnsi="Book Antiqua" w:cs="Book Antiqua"/>
          <w:color w:val="000000"/>
          <w:sz w:val="20"/>
          <w:szCs w:val="20"/>
        </w:rPr>
      </w:pPr>
    </w:p>
    <w:p w14:paraId="427330B7" w14:textId="77777777" w:rsidR="00D82061" w:rsidRDefault="00000000">
      <w:pPr>
        <w:pStyle w:val="CM31"/>
        <w:spacing w:line="253" w:lineRule="atLeast"/>
        <w:jc w:val="both"/>
        <w:rPr>
          <w:rFonts w:ascii="Book Antiqua" w:hAnsi="Book Antiqua" w:cs="Book Antiqua"/>
          <w:color w:val="000000"/>
          <w:sz w:val="20"/>
          <w:szCs w:val="20"/>
        </w:rPr>
      </w:pPr>
      <w:r>
        <w:rPr>
          <w:rFonts w:ascii="Book Antiqua" w:hAnsi="Book Antiqua" w:cs="Book Antiqua"/>
          <w:color w:val="000000"/>
          <w:sz w:val="20"/>
          <w:szCs w:val="20"/>
        </w:rPr>
        <w:t xml:space="preserve">Bank </w:t>
      </w:r>
    </w:p>
    <w:p w14:paraId="5820BCC3" w14:textId="77777777" w:rsidR="00D82061" w:rsidRDefault="00D82061">
      <w:pPr>
        <w:pStyle w:val="CM27"/>
        <w:jc w:val="both"/>
        <w:rPr>
          <w:rFonts w:ascii="Book Antiqua" w:hAnsi="Book Antiqua" w:cs="Book Antiqua"/>
          <w:color w:val="000000"/>
          <w:sz w:val="20"/>
          <w:szCs w:val="20"/>
        </w:rPr>
      </w:pPr>
    </w:p>
    <w:p w14:paraId="7AF66E56" w14:textId="77777777" w:rsidR="00D82061" w:rsidRDefault="00000000">
      <w:pPr>
        <w:pStyle w:val="CM27"/>
        <w:jc w:val="both"/>
        <w:rPr>
          <w:rFonts w:ascii="Book Antiqua" w:hAnsi="Book Antiqua" w:cs="Book Antiqua"/>
          <w:color w:val="000000"/>
          <w:sz w:val="20"/>
          <w:szCs w:val="20"/>
        </w:rPr>
      </w:pPr>
      <w:r>
        <w:rPr>
          <w:rFonts w:ascii="Book Antiqua" w:hAnsi="Book Antiqua" w:cs="Book Antiqua"/>
          <w:color w:val="000000"/>
          <w:sz w:val="20"/>
          <w:szCs w:val="20"/>
        </w:rPr>
        <w:t xml:space="preserve">Corporate Seal of the Bank </w:t>
      </w:r>
      <w:r>
        <w:rPr>
          <w:rFonts w:ascii="Book Antiqua" w:hAnsi="Book Antiqua" w:cs="Book Antiqua"/>
          <w:color w:val="000000"/>
          <w:sz w:val="20"/>
          <w:szCs w:val="20"/>
        </w:rPr>
        <w:tab/>
      </w:r>
    </w:p>
    <w:p w14:paraId="5AF3CFDA" w14:textId="77777777" w:rsidR="00D82061" w:rsidRDefault="00D82061">
      <w:pPr>
        <w:pStyle w:val="CM27"/>
        <w:jc w:val="both"/>
        <w:rPr>
          <w:rFonts w:ascii="Book Antiqua" w:hAnsi="Book Antiqua" w:cs="Book Antiqua"/>
          <w:color w:val="000000"/>
          <w:sz w:val="20"/>
          <w:szCs w:val="20"/>
        </w:rPr>
      </w:pPr>
    </w:p>
    <w:p w14:paraId="5679CCB7" w14:textId="77777777" w:rsidR="00D82061" w:rsidRDefault="00000000">
      <w:pPr>
        <w:pStyle w:val="CM27"/>
        <w:jc w:val="both"/>
      </w:pPr>
      <w:r>
        <w:rPr>
          <w:rFonts w:ascii="Book Antiqua" w:hAnsi="Book Antiqua" w:cs="Book Antiqua"/>
          <w:color w:val="000000"/>
          <w:sz w:val="20"/>
          <w:szCs w:val="20"/>
        </w:rPr>
        <w:t>By its constituted Attorney Signature of a person duly authorized to sign on behalf of the Bank.</w:t>
      </w:r>
    </w:p>
    <w:sectPr w:rsidR="00D82061">
      <w:headerReference w:type="even" r:id="rId7"/>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B46004" w14:textId="77777777" w:rsidR="00A90F8E" w:rsidRDefault="00A90F8E">
      <w:pPr>
        <w:spacing w:line="240" w:lineRule="auto"/>
      </w:pPr>
      <w:r>
        <w:separator/>
      </w:r>
    </w:p>
  </w:endnote>
  <w:endnote w:type="continuationSeparator" w:id="0">
    <w:p w14:paraId="733E9968" w14:textId="77777777" w:rsidR="00A90F8E" w:rsidRDefault="00A90F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Arial Narrow">
    <w:panose1 w:val="020B0606020202030204"/>
    <w:charset w:val="00"/>
    <w:family w:val="swiss"/>
    <w:pitch w:val="variable"/>
    <w:sig w:usb0="00000287" w:usb1="00000800" w:usb2="00000000" w:usb3="00000000" w:csb0="0000009F" w:csb1="00000000"/>
  </w:font>
  <w:font w:name="PMingLiU">
    <w:altName w:val="新細明體"/>
    <w:panose1 w:val="02010601000101010101"/>
    <w:charset w:val="88"/>
    <w:family w:val="auto"/>
    <w:pitch w:val="default"/>
    <w:sig w:usb0="00000000" w:usb1="00000000" w:usb2="00000010" w:usb3="00000000" w:csb0="00100000" w:csb1="00000000"/>
  </w:font>
  <w:font w:name="Berlin Sans FB">
    <w:panose1 w:val="020E0602020502020306"/>
    <w:charset w:val="00"/>
    <w:family w:val="swiss"/>
    <w:pitch w:val="default"/>
    <w:sig w:usb0="00000003" w:usb1="00000000" w:usb2="00000000" w:usb3="00000000" w:csb0="2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C4C9B2" w14:textId="77777777" w:rsidR="00A90F8E" w:rsidRDefault="00A90F8E">
      <w:pPr>
        <w:spacing w:after="0"/>
      </w:pPr>
      <w:r>
        <w:separator/>
      </w:r>
    </w:p>
  </w:footnote>
  <w:footnote w:type="continuationSeparator" w:id="0">
    <w:p w14:paraId="00182514" w14:textId="77777777" w:rsidR="00A90F8E" w:rsidRDefault="00A90F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F44739" w14:textId="77777777" w:rsidR="00D82061" w:rsidRDefault="00000000">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82B931" w14:textId="77777777" w:rsidR="00D82061" w:rsidRDefault="00000000">
    <w:pPr>
      <w:rPr>
        <w:sz w:val="20"/>
        <w:szCs w:val="20"/>
      </w:rPr>
    </w:pPr>
    <w:r>
      <w:rPr>
        <w:rFonts w:cs="Arial"/>
        <w:noProof/>
        <w:sz w:val="20"/>
        <w:lang w:val="en-IN" w:eastAsia="en-IN"/>
      </w:rPr>
      <w:drawing>
        <wp:anchor distT="0" distB="0" distL="114300" distR="114300" simplePos="0" relativeHeight="251659264" behindDoc="1" locked="0" layoutInCell="1" allowOverlap="1" wp14:anchorId="03E194A3" wp14:editId="000FE3A6">
          <wp:simplePos x="0" y="0"/>
          <wp:positionH relativeFrom="column">
            <wp:posOffset>5172075</wp:posOffset>
          </wp:positionH>
          <wp:positionV relativeFrom="paragraph">
            <wp:posOffset>-228600</wp:posOffset>
          </wp:positionV>
          <wp:extent cx="828675" cy="400050"/>
          <wp:effectExtent l="19050" t="0" r="9525" b="0"/>
          <wp:wrapThrough wrapText="bothSides">
            <wp:wrapPolygon edited="0">
              <wp:start x="-497" y="0"/>
              <wp:lineTo x="-497" y="20571"/>
              <wp:lineTo x="21848" y="20571"/>
              <wp:lineTo x="21848" y="0"/>
              <wp:lineTo x="-497" y="0"/>
            </wp:wrapPolygon>
          </wp:wrapThrough>
          <wp:docPr id="2" name="Picture 2" descr="ica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at logo"/>
                  <pic:cNvPicPr>
                    <a:picLocks noChangeAspect="1" noChangeArrowheads="1"/>
                  </pic:cNvPicPr>
                </pic:nvPicPr>
                <pic:blipFill>
                  <a:blip r:embed="rId1"/>
                  <a:srcRect/>
                  <a:stretch>
                    <a:fillRect/>
                  </a:stretch>
                </pic:blipFill>
                <pic:spPr>
                  <a:xfrm>
                    <a:off x="0" y="0"/>
                    <a:ext cx="828675" cy="400050"/>
                  </a:xfrm>
                  <a:prstGeom prst="rect">
                    <a:avLst/>
                  </a:prstGeom>
                  <a:noFill/>
                  <a:ln w="9525">
                    <a:noFill/>
                    <a:miter lim="800000"/>
                    <a:headEnd/>
                    <a:tailEnd/>
                  </a:ln>
                </pic:spPr>
              </pic:pic>
            </a:graphicData>
          </a:graphic>
        </wp:anchor>
      </w:drawing>
    </w:r>
    <w:r>
      <w:rPr>
        <w:rFonts w:cs="Arial"/>
        <w:sz w:val="20"/>
      </w:rPr>
      <w:t xml:space="preserve">Form d) </w:t>
    </w:r>
    <w:r>
      <w:rPr>
        <w:sz w:val="20"/>
        <w:szCs w:val="20"/>
        <w:lang w:val="en-GB" w:eastAsia="zh-CN"/>
      </w:rPr>
      <w:t>Performance Bank Guarantee</w:t>
    </w:r>
  </w:p>
  <w:p w14:paraId="4B078270" w14:textId="4CC56516" w:rsidR="00D82061" w:rsidRDefault="00000000">
    <w:pPr>
      <w:tabs>
        <w:tab w:val="right" w:pos="9072"/>
      </w:tabs>
      <w:spacing w:after="0"/>
    </w:pPr>
    <w:r>
      <w:rPr>
        <w:sz w:val="20"/>
        <w:szCs w:val="20"/>
        <w:lang w:val="en-GB" w:eastAsia="zh-CN"/>
      </w:rPr>
      <w:t>Tender no. ICAT/T/PE/Repa</w:t>
    </w:r>
    <w:r w:rsidR="00F8328F">
      <w:rPr>
        <w:sz w:val="20"/>
        <w:szCs w:val="20"/>
        <w:lang w:val="en-GB" w:eastAsia="zh-CN"/>
      </w:rPr>
      <w:t>i</w:t>
    </w:r>
    <w:r>
      <w:rPr>
        <w:sz w:val="20"/>
        <w:szCs w:val="20"/>
        <w:lang w:val="en-GB" w:eastAsia="zh-CN"/>
      </w:rPr>
      <w:t>ring of Chamber/2024-25/117</w:t>
    </w:r>
    <w:r>
      <w:rPr>
        <w:rFonts w:cs="Arial"/>
        <w:sz w:val="20"/>
      </w:rPr>
      <w:tab/>
      <w:t xml:space="preserve">Page </w:t>
    </w:r>
    <w:r>
      <w:rPr>
        <w:rFonts w:cs="Arial"/>
        <w:sz w:val="20"/>
      </w:rPr>
      <w:fldChar w:fldCharType="begin"/>
    </w:r>
    <w:r>
      <w:rPr>
        <w:rFonts w:cs="Arial"/>
        <w:sz w:val="20"/>
      </w:rPr>
      <w:instrText xml:space="preserve"> PAGE </w:instrText>
    </w:r>
    <w:r>
      <w:rPr>
        <w:rFonts w:cs="Arial"/>
        <w:sz w:val="20"/>
      </w:rPr>
      <w:fldChar w:fldCharType="separate"/>
    </w:r>
    <w:r>
      <w:rPr>
        <w:rFonts w:cs="Arial"/>
        <w:sz w:val="20"/>
      </w:rPr>
      <w:t>2</w:t>
    </w:r>
    <w:r>
      <w:rPr>
        <w:rFonts w:cs="Arial"/>
        <w:sz w:val="20"/>
      </w:rPr>
      <w:fldChar w:fldCharType="end"/>
    </w:r>
    <w:r>
      <w:rPr>
        <w:rFonts w:cs="Arial"/>
        <w:sz w:val="20"/>
      </w:rPr>
      <w:t>/</w:t>
    </w:r>
    <w:r>
      <w:fldChar w:fldCharType="begin"/>
    </w:r>
    <w:r>
      <w:instrText xml:space="preserve"> NUMPAGES </w:instrText>
    </w:r>
    <w:r>
      <w:fldChar w:fldCharType="separate"/>
    </w:r>
    <w:r>
      <w:t>2</w:t>
    </w:r>
    <w:r>
      <w:fldChar w:fldCharType="end"/>
    </w:r>
  </w:p>
  <w:p w14:paraId="7A23E36B" w14:textId="77777777" w:rsidR="00D82061" w:rsidRDefault="00000000">
    <w:pPr>
      <w:pStyle w:val="Header"/>
    </w:pPr>
    <w:r>
      <w:rPr>
        <w:rFonts w:cs="Arial"/>
        <w:sz w:val="20"/>
      </w:rPr>
      <w:pict w14:anchorId="7C9D04C6">
        <v:rect id="_x0000_i1025" style="width:453.6pt;height:1.5pt" o:hralign="center" o:hrstd="t" o:hrnoshade="t" o:hr="t" fillcolor="#930" stroked="f"/>
      </w:pict>
    </w:r>
    <w:r>
      <w:rPr>
        <w:rFonts w:cs="Arial"/>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41B07F3"/>
    <w:multiLevelType w:val="multilevel"/>
    <w:tmpl w:val="441B07F3"/>
    <w:lvl w:ilvl="0">
      <w:start w:val="1"/>
      <w:numFmt w:val="decimal"/>
      <w:pStyle w:val="Heading1"/>
      <w:isLgl/>
      <w:lvlText w:val="%1."/>
      <w:lvlJc w:val="left"/>
      <w:pPr>
        <w:tabs>
          <w:tab w:val="left" w:pos="720"/>
        </w:tabs>
        <w:ind w:left="720" w:hanging="720"/>
      </w:pPr>
      <w:rPr>
        <w:rFonts w:ascii="Times New Roman" w:hAnsi="Times New Roman" w:cs="Times New Roman" w:hint="default"/>
        <w:b/>
        <w:i w:val="0"/>
        <w:u w:val="none"/>
      </w:rPr>
    </w:lvl>
    <w:lvl w:ilvl="1">
      <w:start w:val="1"/>
      <w:numFmt w:val="decimal"/>
      <w:pStyle w:val="Heading2"/>
      <w:isLgl/>
      <w:lvlText w:val="%1.%2"/>
      <w:lvlJc w:val="left"/>
      <w:pPr>
        <w:tabs>
          <w:tab w:val="left" w:pos="720"/>
        </w:tabs>
        <w:ind w:left="720" w:hanging="720"/>
      </w:pPr>
      <w:rPr>
        <w:rFonts w:ascii="Times New Roman" w:hAnsi="Times New Roman" w:cs="Times New Roman" w:hint="default"/>
        <w:b/>
        <w:i w:val="0"/>
        <w:sz w:val="24"/>
        <w:szCs w:val="24"/>
        <w:u w:val="none"/>
      </w:rPr>
    </w:lvl>
    <w:lvl w:ilvl="2">
      <w:start w:val="1"/>
      <w:numFmt w:val="decimal"/>
      <w:pStyle w:val="Heading3"/>
      <w:lvlText w:val="%1.%2.%3"/>
      <w:lvlJc w:val="left"/>
      <w:pPr>
        <w:tabs>
          <w:tab w:val="left" w:pos="680"/>
        </w:tabs>
        <w:ind w:left="680" w:hanging="680"/>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1.%2.%3.%4"/>
      <w:lvlJc w:val="left"/>
      <w:pPr>
        <w:tabs>
          <w:tab w:val="left" w:pos="851"/>
        </w:tabs>
        <w:ind w:left="851" w:hanging="851"/>
      </w:pPr>
      <w:rPr>
        <w:rFonts w:ascii="Times New Roman" w:hAnsi="Times New Roman" w:cs="Times New Roman" w:hint="default"/>
        <w:b w:val="0"/>
        <w:i w:val="0"/>
        <w:sz w:val="24"/>
        <w:szCs w:val="24"/>
      </w:rPr>
    </w:lvl>
    <w:lvl w:ilvl="4">
      <w:start w:val="1"/>
      <w:numFmt w:val="none"/>
      <w:lvlText w:val=""/>
      <w:lvlJc w:val="left"/>
      <w:pPr>
        <w:tabs>
          <w:tab w:val="left" w:pos="1440"/>
        </w:tabs>
        <w:ind w:left="1440" w:hanging="720"/>
      </w:pPr>
      <w:rPr>
        <w:rFonts w:ascii="Times New Roman" w:hAnsi="Times New Roman" w:cs="Times New Roman" w:hint="default"/>
        <w:b w:val="0"/>
        <w:i w:val="0"/>
        <w:sz w:val="24"/>
      </w:rPr>
    </w:lvl>
    <w:lvl w:ilvl="5">
      <w:start w:val="1"/>
      <w:numFmt w:val="lowerRoman"/>
      <w:lvlText w:val="(%6)"/>
      <w:lvlJc w:val="left"/>
      <w:pPr>
        <w:tabs>
          <w:tab w:val="left" w:pos="4320"/>
        </w:tabs>
        <w:ind w:left="4320" w:hanging="1440"/>
      </w:pPr>
      <w:rPr>
        <w:rFonts w:cs="Times New Roman" w:hint="default"/>
      </w:rPr>
    </w:lvl>
    <w:lvl w:ilvl="6">
      <w:start w:val="1"/>
      <w:numFmt w:val="decimal"/>
      <w:lvlText w:val="%1.%2.%3.%4.%5.%6.%7"/>
      <w:lvlJc w:val="left"/>
      <w:pPr>
        <w:tabs>
          <w:tab w:val="left" w:pos="1800"/>
        </w:tabs>
        <w:ind w:left="1296" w:hanging="1296"/>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584"/>
        </w:tabs>
        <w:ind w:left="1584" w:hanging="1584"/>
      </w:pPr>
      <w:rPr>
        <w:rFonts w:cs="Times New Roman" w:hint="default"/>
      </w:rPr>
    </w:lvl>
  </w:abstractNum>
  <w:num w:numId="1" w16cid:durableId="534536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5210"/>
    <w:rsid w:val="0000372C"/>
    <w:rsid w:val="00053CBD"/>
    <w:rsid w:val="00061506"/>
    <w:rsid w:val="000650CA"/>
    <w:rsid w:val="000730EC"/>
    <w:rsid w:val="00074E84"/>
    <w:rsid w:val="000A6E13"/>
    <w:rsid w:val="000B3CC4"/>
    <w:rsid w:val="000C662A"/>
    <w:rsid w:val="000D1208"/>
    <w:rsid w:val="000F187F"/>
    <w:rsid w:val="000F18F7"/>
    <w:rsid w:val="00123B8A"/>
    <w:rsid w:val="0013540C"/>
    <w:rsid w:val="001626A3"/>
    <w:rsid w:val="00183585"/>
    <w:rsid w:val="00196A1A"/>
    <w:rsid w:val="001A2841"/>
    <w:rsid w:val="001B1FB7"/>
    <w:rsid w:val="0021437A"/>
    <w:rsid w:val="002307A4"/>
    <w:rsid w:val="002534EB"/>
    <w:rsid w:val="002668FC"/>
    <w:rsid w:val="002A1E53"/>
    <w:rsid w:val="002A5C20"/>
    <w:rsid w:val="002B0427"/>
    <w:rsid w:val="002C09AD"/>
    <w:rsid w:val="002E4166"/>
    <w:rsid w:val="002E5396"/>
    <w:rsid w:val="002F0960"/>
    <w:rsid w:val="002F7F95"/>
    <w:rsid w:val="00303FB5"/>
    <w:rsid w:val="0030764F"/>
    <w:rsid w:val="0031488D"/>
    <w:rsid w:val="00317BF3"/>
    <w:rsid w:val="00352AFB"/>
    <w:rsid w:val="00356E52"/>
    <w:rsid w:val="003612B4"/>
    <w:rsid w:val="00371BF2"/>
    <w:rsid w:val="00393C75"/>
    <w:rsid w:val="0039565A"/>
    <w:rsid w:val="003972A2"/>
    <w:rsid w:val="003D73F7"/>
    <w:rsid w:val="003E7733"/>
    <w:rsid w:val="004007D3"/>
    <w:rsid w:val="00407470"/>
    <w:rsid w:val="00416375"/>
    <w:rsid w:val="00417B31"/>
    <w:rsid w:val="004224AB"/>
    <w:rsid w:val="004318A1"/>
    <w:rsid w:val="00433C83"/>
    <w:rsid w:val="004964CF"/>
    <w:rsid w:val="004A0F8A"/>
    <w:rsid w:val="004C11C0"/>
    <w:rsid w:val="004E2F3C"/>
    <w:rsid w:val="004F2362"/>
    <w:rsid w:val="004F6B51"/>
    <w:rsid w:val="00532685"/>
    <w:rsid w:val="00541EEE"/>
    <w:rsid w:val="00557946"/>
    <w:rsid w:val="00571465"/>
    <w:rsid w:val="005C1CCE"/>
    <w:rsid w:val="005D7A4C"/>
    <w:rsid w:val="005F0AF9"/>
    <w:rsid w:val="005F4FCE"/>
    <w:rsid w:val="00600E2D"/>
    <w:rsid w:val="00601614"/>
    <w:rsid w:val="00610AD9"/>
    <w:rsid w:val="00632825"/>
    <w:rsid w:val="006525D5"/>
    <w:rsid w:val="006723F1"/>
    <w:rsid w:val="00686F09"/>
    <w:rsid w:val="006F7169"/>
    <w:rsid w:val="00715F51"/>
    <w:rsid w:val="0072332A"/>
    <w:rsid w:val="00723A23"/>
    <w:rsid w:val="00730BA1"/>
    <w:rsid w:val="007357C7"/>
    <w:rsid w:val="00756E90"/>
    <w:rsid w:val="00793AFC"/>
    <w:rsid w:val="007A0282"/>
    <w:rsid w:val="007B55C8"/>
    <w:rsid w:val="007C0102"/>
    <w:rsid w:val="007C0E80"/>
    <w:rsid w:val="007D39A8"/>
    <w:rsid w:val="007E1144"/>
    <w:rsid w:val="007F5023"/>
    <w:rsid w:val="007F60F4"/>
    <w:rsid w:val="00801BF4"/>
    <w:rsid w:val="00804A73"/>
    <w:rsid w:val="008120F4"/>
    <w:rsid w:val="0084571F"/>
    <w:rsid w:val="00851963"/>
    <w:rsid w:val="00871FCE"/>
    <w:rsid w:val="008A51D7"/>
    <w:rsid w:val="009404AF"/>
    <w:rsid w:val="00944F3B"/>
    <w:rsid w:val="0095205D"/>
    <w:rsid w:val="009726E5"/>
    <w:rsid w:val="00972B68"/>
    <w:rsid w:val="0097742E"/>
    <w:rsid w:val="009863A1"/>
    <w:rsid w:val="009D14D8"/>
    <w:rsid w:val="009D2376"/>
    <w:rsid w:val="009F194C"/>
    <w:rsid w:val="009F287E"/>
    <w:rsid w:val="00A026BE"/>
    <w:rsid w:val="00A651D3"/>
    <w:rsid w:val="00A75210"/>
    <w:rsid w:val="00A75A07"/>
    <w:rsid w:val="00A7777B"/>
    <w:rsid w:val="00A84F24"/>
    <w:rsid w:val="00A90AEE"/>
    <w:rsid w:val="00A90F8E"/>
    <w:rsid w:val="00AA669F"/>
    <w:rsid w:val="00AD1C23"/>
    <w:rsid w:val="00AF2250"/>
    <w:rsid w:val="00B25996"/>
    <w:rsid w:val="00B32D14"/>
    <w:rsid w:val="00B46593"/>
    <w:rsid w:val="00B834C0"/>
    <w:rsid w:val="00B83EEF"/>
    <w:rsid w:val="00B90DE6"/>
    <w:rsid w:val="00BA4488"/>
    <w:rsid w:val="00BC2257"/>
    <w:rsid w:val="00BD0545"/>
    <w:rsid w:val="00BE71D6"/>
    <w:rsid w:val="00C439C6"/>
    <w:rsid w:val="00C514DC"/>
    <w:rsid w:val="00C97D29"/>
    <w:rsid w:val="00CC5F1C"/>
    <w:rsid w:val="00CC6B5E"/>
    <w:rsid w:val="00CE6E46"/>
    <w:rsid w:val="00D510E1"/>
    <w:rsid w:val="00D82061"/>
    <w:rsid w:val="00DE064F"/>
    <w:rsid w:val="00DE305D"/>
    <w:rsid w:val="00DE776B"/>
    <w:rsid w:val="00E44E47"/>
    <w:rsid w:val="00E9149D"/>
    <w:rsid w:val="00EB6B2D"/>
    <w:rsid w:val="00ED7BC3"/>
    <w:rsid w:val="00EE55EA"/>
    <w:rsid w:val="00EE6D90"/>
    <w:rsid w:val="00F0087E"/>
    <w:rsid w:val="00F11455"/>
    <w:rsid w:val="00F24C40"/>
    <w:rsid w:val="00F61793"/>
    <w:rsid w:val="00F712C6"/>
    <w:rsid w:val="00F8328F"/>
    <w:rsid w:val="30435BDE"/>
    <w:rsid w:val="3FCF47CD"/>
    <w:rsid w:val="5B1C630A"/>
    <w:rsid w:val="7E006CE0"/>
  </w:rsids>
  <m:mathPr>
    <m:mathFont m:val="Cambria Math"/>
    <m:brkBin m:val="before"/>
    <m:brkBinSub m:val="--"/>
    <m:smallFrac/>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85D524"/>
  <w15:docId w15:val="{12496A68-1E5F-4482-90BF-7E76BDB97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Book Antiqua" w:eastAsia="Times New Roman" w:hAnsi="Book Antiqua" w:cs="Times New Roman"/>
      <w:sz w:val="22"/>
      <w:szCs w:val="22"/>
      <w:lang w:val="en-US" w:eastAsia="en-US"/>
    </w:rPr>
  </w:style>
  <w:style w:type="paragraph" w:styleId="Heading1">
    <w:name w:val="heading 1"/>
    <w:basedOn w:val="Normal"/>
    <w:next w:val="Normal"/>
    <w:link w:val="Heading1Char"/>
    <w:uiPriority w:val="9"/>
    <w:qFormat/>
    <w:pPr>
      <w:keepNext/>
      <w:numPr>
        <w:numId w:val="1"/>
      </w:numPr>
      <w:spacing w:before="240" w:after="60" w:line="240" w:lineRule="auto"/>
      <w:outlineLvl w:val="0"/>
    </w:pPr>
    <w:rPr>
      <w:rFonts w:ascii="Arial" w:hAnsi="Arial" w:cs="Arial"/>
      <w:b/>
      <w:bCs/>
      <w:kern w:val="32"/>
      <w:sz w:val="32"/>
      <w:szCs w:val="32"/>
    </w:rPr>
  </w:style>
  <w:style w:type="paragraph" w:styleId="Heading2">
    <w:name w:val="heading 2"/>
    <w:basedOn w:val="Normal"/>
    <w:next w:val="Normal"/>
    <w:link w:val="Heading2Char"/>
    <w:uiPriority w:val="9"/>
    <w:qFormat/>
    <w:pPr>
      <w:keepNext/>
      <w:numPr>
        <w:ilvl w:val="1"/>
        <w:numId w:val="1"/>
      </w:numPr>
      <w:spacing w:before="240" w:after="60" w:line="240" w:lineRule="auto"/>
      <w:outlineLvl w:val="1"/>
    </w:pPr>
    <w:rPr>
      <w:rFonts w:ascii="Arial" w:hAnsi="Arial" w:cs="Arial"/>
      <w:b/>
      <w:bCs/>
      <w:i/>
      <w:iCs/>
      <w:sz w:val="28"/>
      <w:szCs w:val="28"/>
      <w:lang w:val="en-GB" w:eastAsia="en-GB"/>
    </w:rPr>
  </w:style>
  <w:style w:type="paragraph" w:styleId="Heading3">
    <w:name w:val="heading 3"/>
    <w:basedOn w:val="Normal"/>
    <w:next w:val="Normal"/>
    <w:link w:val="Heading3Char"/>
    <w:uiPriority w:val="9"/>
    <w:qFormat/>
    <w:pPr>
      <w:keepNext/>
      <w:numPr>
        <w:ilvl w:val="2"/>
        <w:numId w:val="1"/>
      </w:numPr>
      <w:spacing w:before="240" w:after="60" w:line="240" w:lineRule="auto"/>
      <w:outlineLvl w:val="2"/>
    </w:pPr>
    <w:rPr>
      <w:rFonts w:ascii="Arial" w:hAnsi="Arial" w:cs="Arial"/>
      <w:b/>
      <w:bCs/>
      <w:sz w:val="26"/>
      <w:szCs w:val="2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nhideWhenUsed/>
    <w:qFormat/>
    <w:pPr>
      <w:tabs>
        <w:tab w:val="center" w:pos="4680"/>
        <w:tab w:val="right" w:pos="9360"/>
      </w:tabs>
      <w:spacing w:after="0" w:line="240" w:lineRule="auto"/>
    </w:pPr>
  </w:style>
  <w:style w:type="character" w:customStyle="1" w:styleId="Heading1Char">
    <w:name w:val="Heading 1 Char"/>
    <w:basedOn w:val="DefaultParagraphFont"/>
    <w:link w:val="Heading1"/>
    <w:uiPriority w:val="9"/>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qFormat/>
    <w:rPr>
      <w:rFonts w:ascii="Arial" w:eastAsia="Times New Roman" w:hAnsi="Arial" w:cs="Arial"/>
      <w:b/>
      <w:bCs/>
      <w:i/>
      <w:iCs/>
      <w:sz w:val="28"/>
      <w:szCs w:val="28"/>
      <w:lang w:val="en-GB" w:eastAsia="en-GB"/>
    </w:rPr>
  </w:style>
  <w:style w:type="character" w:customStyle="1" w:styleId="Heading3Char">
    <w:name w:val="Heading 3 Char"/>
    <w:basedOn w:val="DefaultParagraphFont"/>
    <w:link w:val="Heading3"/>
    <w:uiPriority w:val="9"/>
    <w:qFormat/>
    <w:rPr>
      <w:rFonts w:ascii="Arial" w:eastAsia="Times New Roman" w:hAnsi="Arial" w:cs="Arial"/>
      <w:b/>
      <w:bCs/>
      <w:sz w:val="26"/>
      <w:szCs w:val="26"/>
      <w:lang w:val="en-GB" w:eastAsia="en-GB"/>
    </w:rPr>
  </w:style>
  <w:style w:type="paragraph" w:customStyle="1" w:styleId="Default">
    <w:name w:val="Default"/>
    <w:qFormat/>
    <w:pPr>
      <w:widowControl w:val="0"/>
      <w:autoSpaceDE w:val="0"/>
      <w:autoSpaceDN w:val="0"/>
      <w:adjustRightInd w:val="0"/>
    </w:pPr>
    <w:rPr>
      <w:rFonts w:ascii="Arial Narrow" w:eastAsia="Times New Roman" w:hAnsi="Arial Narrow" w:cs="Arial Narrow"/>
      <w:color w:val="000000"/>
      <w:sz w:val="24"/>
      <w:szCs w:val="24"/>
      <w:lang w:val="en-US" w:eastAsia="en-US"/>
    </w:rPr>
  </w:style>
  <w:style w:type="paragraph" w:customStyle="1" w:styleId="CM31">
    <w:name w:val="CM31"/>
    <w:basedOn w:val="Default"/>
    <w:next w:val="Default"/>
    <w:qFormat/>
    <w:rPr>
      <w:rFonts w:cs="Times New Roman"/>
      <w:color w:val="auto"/>
    </w:rPr>
  </w:style>
  <w:style w:type="paragraph" w:customStyle="1" w:styleId="CM33">
    <w:name w:val="CM33"/>
    <w:basedOn w:val="Default"/>
    <w:next w:val="Default"/>
    <w:qFormat/>
    <w:rPr>
      <w:rFonts w:cs="Times New Roman"/>
      <w:color w:val="auto"/>
    </w:rPr>
  </w:style>
  <w:style w:type="paragraph" w:customStyle="1" w:styleId="CM27">
    <w:name w:val="CM27"/>
    <w:basedOn w:val="Default"/>
    <w:next w:val="Default"/>
    <w:qFormat/>
    <w:pPr>
      <w:spacing w:line="253" w:lineRule="atLeast"/>
    </w:pPr>
    <w:rPr>
      <w:rFonts w:cs="Times New Roman"/>
      <w:color w:val="auto"/>
    </w:rPr>
  </w:style>
  <w:style w:type="paragraph" w:customStyle="1" w:styleId="BodyCharChar">
    <w:name w:val="Body Char Char"/>
    <w:basedOn w:val="Normal"/>
    <w:qFormat/>
    <w:pPr>
      <w:spacing w:after="240" w:line="240" w:lineRule="auto"/>
      <w:jc w:val="both"/>
    </w:pPr>
    <w:rPr>
      <w:rFonts w:ascii="Arial" w:eastAsia="PMingLiU" w:hAnsi="Arial" w:cs="Arial"/>
      <w:sz w:val="24"/>
      <w:szCs w:val="24"/>
      <w:lang w:val="en-GB"/>
    </w:rPr>
  </w:style>
  <w:style w:type="character" w:customStyle="1" w:styleId="HeaderChar">
    <w:name w:val="Header Char"/>
    <w:basedOn w:val="DefaultParagraphFont"/>
    <w:link w:val="Header"/>
    <w:qFormat/>
    <w:rPr>
      <w:rFonts w:ascii="Book Antiqua" w:eastAsia="Times New Roman" w:hAnsi="Book Antiqua" w:cs="Times New Roman"/>
    </w:rPr>
  </w:style>
  <w:style w:type="character" w:customStyle="1" w:styleId="FooterChar">
    <w:name w:val="Footer Char"/>
    <w:basedOn w:val="DefaultParagraphFont"/>
    <w:link w:val="Footer"/>
    <w:uiPriority w:val="99"/>
    <w:qFormat/>
    <w:rPr>
      <w:rFonts w:ascii="Book Antiqua" w:eastAsia="Times New Roman" w:hAnsi="Book Antiqua" w:cs="Times New Roman"/>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943</Words>
  <Characters>5376</Characters>
  <Application>Microsoft Office Word</Application>
  <DocSecurity>0</DocSecurity>
  <Lines>44</Lines>
  <Paragraphs>12</Paragraphs>
  <ScaleCrop>false</ScaleCrop>
  <Company/>
  <LinksUpToDate>false</LinksUpToDate>
  <CharactersWithSpaces>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GP HARI</dc:creator>
  <cp:lastModifiedBy>prem.purang</cp:lastModifiedBy>
  <cp:revision>101</cp:revision>
  <cp:lastPrinted>2017-07-18T04:43:00Z</cp:lastPrinted>
  <dcterms:created xsi:type="dcterms:W3CDTF">2008-11-01T21:51:00Z</dcterms:created>
  <dcterms:modified xsi:type="dcterms:W3CDTF">2025-01-07T03:13:00Z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1033-12.2.0.19307</vt:lpwstr>
  </property>
  <property fmtid="{D5CDD505-2E9C-101B-9397-08002B2CF9AE}" pid="3" name="ICV">
    <vt:lpwstr>B222851D8B564C9BAD1ABD76BFE36D73_12</vt:lpwstr>
  </property>
</Properties>
</file>